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A2" w:rsidRPr="00AB7FA2" w:rsidRDefault="00AB7FA2" w:rsidP="00AB7FA2">
      <w:pPr>
        <w:pStyle w:val="ConsPlusTitlePage"/>
        <w:ind w:left="142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AB7FA2">
        <w:rPr>
          <w:rFonts w:ascii="Times New Roman" w:hAnsi="Times New Roman" w:cs="Times New Roman"/>
          <w:sz w:val="24"/>
          <w:szCs w:val="24"/>
        </w:rPr>
        <w:br/>
      </w:r>
    </w:p>
    <w:p w:rsidR="00AB7FA2" w:rsidRPr="00AB7FA2" w:rsidRDefault="00AB7FA2" w:rsidP="00AB7FA2">
      <w:pPr>
        <w:pStyle w:val="ConsPlusNormal"/>
        <w:ind w:left="142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от 17 апреля 2019 г. N 768-р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развития конкуренции в субъектах Российской Федерации (далее - стандарт).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2. Рекомендовать: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</w:t>
      </w:r>
      <w:hyperlink w:anchor="P32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AB7FA2">
        <w:rPr>
          <w:rFonts w:ascii="Times New Roman" w:hAnsi="Times New Roman" w:cs="Times New Roman"/>
          <w:sz w:val="24"/>
          <w:szCs w:val="24"/>
        </w:rPr>
        <w:t>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субъектам естественных монополий руководствоваться положениями </w:t>
      </w:r>
      <w:hyperlink w:anchor="P32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раскрытия информации о своей деятельности.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3.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конкуренции, предусмотренных приложением к </w:t>
      </w:r>
      <w:hyperlink w:anchor="P32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стандарту</w:t>
        </w:r>
      </w:hyperlink>
      <w:r w:rsidRPr="00AB7FA2">
        <w:rPr>
          <w:rFonts w:ascii="Times New Roman" w:hAnsi="Times New Roman" w:cs="Times New Roman"/>
          <w:sz w:val="24"/>
          <w:szCs w:val="24"/>
        </w:rPr>
        <w:t>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4. Минэкономразвития России: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образовать межведомственную рабочую группу по вопросам реализации положений </w:t>
      </w:r>
      <w:hyperlink w:anchor="P32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AB7FA2">
        <w:rPr>
          <w:rFonts w:ascii="Times New Roman" w:hAnsi="Times New Roman" w:cs="Times New Roman"/>
          <w:sz w:val="24"/>
          <w:szCs w:val="24"/>
        </w:rPr>
        <w:t>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представлять при необходимости в Правительство Российской Федерации в установленном порядке предложения по внесению изменений в стандарт, одобренные межведомственной рабочей группой по вопросам реализации положений </w:t>
      </w:r>
      <w:hyperlink w:anchor="P32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AB7FA2">
        <w:rPr>
          <w:rFonts w:ascii="Times New Roman" w:hAnsi="Times New Roman" w:cs="Times New Roman"/>
          <w:sz w:val="24"/>
          <w:szCs w:val="24"/>
        </w:rPr>
        <w:t>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представлять в Правительство Российской Федерации ежегодно, в IV квартале года, следующего за отчетным, доклад о результатах внедрения </w:t>
      </w:r>
      <w:hyperlink w:anchor="P32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стандарта</w:t>
        </w:r>
      </w:hyperlink>
      <w:r w:rsidRPr="00AB7FA2">
        <w:rPr>
          <w:rFonts w:ascii="Times New Roman" w:hAnsi="Times New Roman" w:cs="Times New Roman"/>
          <w:sz w:val="24"/>
          <w:szCs w:val="24"/>
        </w:rPr>
        <w:t>, включающий оценку эффективности деятельности органов исполнительной власти субъектов Российской Федерации по его внедрению.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5. Признать утратившими силу: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сентября 2015 г. N 1738-р (Собрание законодательства Российской Федерации, 2015, N 37, ст. 5176);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 сентября 2016 г. N 1969-р (Собрание законодательства Российской Федерации, 2016, N 39, ст. 5702).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AB7FA2" w:rsidRPr="00AB7FA2" w:rsidRDefault="00AB7FA2" w:rsidP="00AB7FA2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B7FA2" w:rsidRPr="00AB7FA2" w:rsidRDefault="00AB7FA2" w:rsidP="00AB7FA2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Д.МЕДВЕДЕВ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Утвержден</w:t>
      </w:r>
    </w:p>
    <w:p w:rsidR="00AB7FA2" w:rsidRPr="00AB7FA2" w:rsidRDefault="00AB7FA2" w:rsidP="00AB7FA2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распоряжением Правительства</w:t>
      </w:r>
    </w:p>
    <w:p w:rsidR="00AB7FA2" w:rsidRPr="00AB7FA2" w:rsidRDefault="00AB7FA2" w:rsidP="00AB7FA2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AB7FA2" w:rsidRPr="00AB7FA2" w:rsidRDefault="00AB7FA2" w:rsidP="00AB7FA2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от 17 апреля 2019 г. N 768-р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AB7FA2">
        <w:rPr>
          <w:rFonts w:ascii="Times New Roman" w:hAnsi="Times New Roman" w:cs="Times New Roman"/>
          <w:sz w:val="24"/>
          <w:szCs w:val="24"/>
        </w:rPr>
        <w:t>СТАНДАРТ</w:t>
      </w: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РАЗВИТИЯ КОНКУРЕНЦИИ В СУБЪЕКТАХ РОССИЙСКОЙ ФЕДЕРАЦИИ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1. Стандарт развития конкуренции в субъектах Российской Федерации (далее соответственно - стандарт, конкуренция) разработан в рамках реализации </w:t>
      </w:r>
      <w:hyperlink r:id="rId8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пункта 7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подпункта "в" пункта 8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 декабря 2017 г. N 618 "Об основных направлениях государственной политики по развитию конкуренции".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2. Целями стандарта являются: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а)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>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б) содействие формированию прозрачной системы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работы органов исполнительной власти субъектов Российской Федерации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в) выявление потенциала развития экономики Российской Федерации, включая научно-технологический и человеческий потенциал;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д) поддержание и развитие единого экономического пространства Российской Федерации, рост производительности труда и диверсификация экономики;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е) повышение доступности финансовых услуг для субъектов экономической деятельности;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ж) преодоление и минимизация влияния несовершенной конкуренции на инфляцию;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з) содействие каждым субъектом Российской Федерации развитию конкуренции на товарных рынках, определяемых в соответствии с антимонопольным законодательством Российской Федерации, для достижения положительного эффекта в соответствующих отраслях (сферах) экономики Российской Федерации, характеризующихся наличием значимых проблем, препятствующих конкуренции.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Под товарным рынком в стандарте понимается сфера обращения товара, работы, услуги, которые не могут быть заменены другими товаром, работой, услугой, или взаимозаменяемых товаров, работ, услуг, в границах которой исходя из экономической, технической или иной возможности либо целесообразности приобретатель может приобрести товар, работу, услугу и за пределами которой такая возможность либо целесообразность отсутствует.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3. Принципами внедрения стандарта являются: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а) ориентация на потребителя - высшее должностное лицо (руководитель высшего исполнительного органа государственной власти) субъекта Российской Федерации (далее - высшее должностное лицо)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товаров, работ, услуг, участников экономических отношений и общества в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>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б) заинтересованность высшего должностного лица - высшее должностное лицо обеспечивает единство целей и направлений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для результативной и эффективной реализации стандарта;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в) системный подход - совершенствование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по анализу состояния товарных рынков, поведения хозяйствующих субъектов на указанных рынках, выявленных ожиданий потребителей товаров, работ и услуг, планированию деятельности, а также формированию процессов и систем мониторинга, оценки, контроля и анализа деятельности органов исполнительной власти субъекта Российской Федерации;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постоянное совершенствование деятельности - повышение удовлетворенности потребителей и других участников экономической деятельности качеством товаров, работ, услуг, обеспечение информационного взаимодействия с потребителями товаров, работ, услуг и другими заинтересованными сторонами, проведение аудита и анализа результативности мероприятий по содействию развитию конкуренции;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д) прозрачность деятельности - содействие органов исполнительной власти субъекта Российской Федерации в обеспечении открытости и доступности для потребителей товаров, работ, услуг и других участников экономической деятельности информации о мероприятиях по содействию развитию конкуренции, процедурах оказания услуг, а также о решениях, оказывающих воздействие на экономическую конкуренцию.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4. Органами исполнительной власти субъекта Российской Федерации и органами местного самоуправления заключаются соглашения (меморандумы) о внедрении в субъекте Российской Федерации стандарта (далее - соглашения).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В соглашении отражаются положения, определяющие его цели и предмет, описываются порядок, формы и направления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взаимодействия органов исполнительной власти субъекта Российской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самоуправления.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Внедрение стандарта осуществляется на основании решения высшего должностного лица и может предусматривать использование проектного подхода,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(далее - ведомственный приоритетный проект),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приоритетной программы по внедрению стандарта, утверждаемой высшим должностным лицом.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решений, занимающих должности не ниже заместителя руководителя, ответственных за координацию вопросов содействия развитию конкуренции, а также структурных подразделений, ответственных за разработку и реализацию планов мероприятий ("дорожных карт") по содействию развитию конкуренции в подведомственной сфере деятельности с внесением соответствующих обязанностей в должностные регламенты 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положения о структурных подразделениях.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Для достижения целей стандарта и соблюдения принципов его внедрения, формирования </w:t>
      </w:r>
      <w:hyperlink w:anchor="P323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перечня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товарных рынков для содействия развитию конкуренции в субъекте Российской Федерации (далее - перечень товарных рынков), а также для разработки плана мероприятий ("дорожной карты") по содействию развитию конкуренции (далее - "дорожная карта") предполагается ознакомление органов исполнительной власти субъекта Российской Федерации и органов местного самоуправления, а также членов коллегиального координационного или совещательного органа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>, созданного при высшем должностном лице (далее - коллегиальный орган), с Инструментарием для оценки воздействия на конкуренцию (версия 2.0), разработанным Организацией экономического сотрудничества и развития.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мероприятий, направленных на развитие частного сектора экономики, при одновременном сокращении бюджетных расходов в рыночных отраслях (сферах) экономики.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На официальном сайте органа исполнительной власти субъекта Российской Федерации, уполномоченного содействовать развитию конкуренции (далее - уполномоченный орган), в информационно-телекоммуникационной сети "Интернет" (далее - сеть "Интернет") и на интернет-портале об инвестиционной деятельности в субъекте Российской Федерации не реже чем раз в квартал размещаются информация и документы, касающиеся внедрения стандарта, и не реже чем раз в год - сведения об эффекте, достигнутом при внедрении стандарта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>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"дорожной карты" при принятии в установленном порядке решений о поощрении руководителей органов исполнительной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власти субъекта Российской Федерации и органов местного самоуправления.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II. Определение уполномоченного органа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9. Уполномоченный орган определяется из числа органов исполнительной власти субъекта Российской Федерации.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10. Уполномоченный орган осуществляет следующие полномочия: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а) формирует с участием органов исполнительной власти субъекта Российской Федерации, осуществляющих (координирующих) деятельность в установленных сферах ведения,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с анализом основных проблем и методов их решения и представляет его на рассмотрение и утверждение высшему должностному лицу;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б) подготавливает проект ежегодного доклада о состоянии и развитии конкуренции на товарных рынках субъекта Российской Федерации (далее - доклад) для его рассмотрения и утверждения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>коллегиальным органом;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в) разрабатывает проект "дорожной карты" и представляет его на рассмотрение и утверждение высшему должностному лицу;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г) организует проектную деятельность по вопросам внедрения стандарта,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мероприятий, предусмотренных "дорожной картой" и соответствующими ведомственными приоритетными проектами;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д)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конкуренции, а также повышения качества процессов, связанных с предоставлением услуг, влияющих на развитие конкуренции;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е) формирует при принятии высшим должностным лицом решения, предусматривающего систему поощрений,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ж)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"Интернет";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з) рассматривает обращения субъектов предпринимательской деятельности, потребителей товаров, работ, услуг и общественных организаций, представляющих интересы потребителей, по вопросам содействия развитию конкуренции, относящимся к компетенции уполномоченного органа;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и) организует проведение мониторинга состояния и развития конкуренции на товарных рынках субъекта Российской Федерации (далее - мониторинг);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к) осуществляет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11. В рамках реализации мероприятий "дорожной карты", а также иных мероприятий по содействию развитию конкуренции органы исполнительной власти субъекта Российской Федерации, осуществляющие (координирующие) деятельность в установленной сфере ведения, при участии уполномоченного органа: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проводят мониторинг, при необходимости подготавливают предложения по улучшению конкурентной среды на товарных рынках субъекта Российской Федерации (в виде проектов актов, ведомственных приоритетных проектов или иных документов);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осуществляют реализацию мероприятий "дорожной карты", а также иных мероприятий по содействию развитию конкуренции;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в) обеспечивают единство целей и направлений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обеспечивают информационное взаимодействие с потребителями товаров, работ, услуг, участниками экономической деятельности (предпринимательским сообществом) и другими заинтересованными сторонами, в том числе в целях доступности для потребителей товаров, работ, услуг и других участников экономической деятельности информации о решениях и мероприятиях, оказывающих воздействие на конкуренцию;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д) проводят анализ результативности мероприятий "дорожной карты", а также иных мероприятий по содействию развитию конкуренции, формируют разделы проекта доклада.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III. Рассмотрение вопросов содействия развитию конкуренции</w:t>
      </w: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на заседаниях коллегиального органа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12. Коллегиальный орган на своих заседаниях рассматривает подготавливаемые в целях стимулирования развития конкуренции: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проект перечня товарных рынков с аргументированным обоснованием выбора каждого товарного рынка и описанием текущей ситуации на каждом товарном рынке, а также анализом основных проблем и методов их решения;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проект "дорожной карты", включая информацию о разработке и выполнении мероприятий, предусмотренных "дорожной картой";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в) иную информацию и проекты правовых актов субъекта Российской Федерации в части их потенциального воздействия на состояние и развитие конкуренции, а также отчет об эффективности контрольно-надзорной деятельности в субъекте Российской Федерации;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lastRenderedPageBreak/>
        <w:t>г) результаты и анализ результатов мониторинга.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13. Коллегиальный орган рассматривает и утверждает доклад, а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необходимости представляет замечания, предложения и особые мнения членов коллегиального органа для включения их в доклад.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AB7FA2">
        <w:rPr>
          <w:rFonts w:ascii="Times New Roman" w:hAnsi="Times New Roman" w:cs="Times New Roman"/>
          <w:sz w:val="24"/>
          <w:szCs w:val="24"/>
        </w:rPr>
        <w:t>14. В состав коллегиального органа (в том числе в рамках отдельных специализированных рабочих групп по направлениям) включаются: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руководители или заместители руководителей уполномоченного органа, а также иных органов исполнительной власти субъекта Российской Федерации, в функции которых входит реализация мероприятий по содействию развитию конкуренции;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б) представители совета муниципальных образований, иных объединений муниципальных образований и (или) органов местного самоуправления;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в) представители общественных организаций, действующих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предпринимателей и потребителей товаров, работ, услуг;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представители комиссии по проведению административной реформы в субъекте Российской Федерации;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д) представители научных, исследовательских, проектных, аналитических организаций и технологических платформ, структурных подразделений федерального государственного бюджетного учреждения "Российская академия наук" в субъекте Российской Федерации (при наличии);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е) представители потребителей товаров, работ, услуг, задействованные в механизмах общественного контроля за деятельностью субъектов естественных монополий, а также представители некоммерческих объединений, действующих в интересах технологических и ценовых аудиторов;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ж) представители объединений сельскохозяйственных товаропроизводителей, переработчиков сельскохозяйственной продукции, крестьянских (фермерских) хозяйств и сельскохозяйственных кооперативов;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з) представители объединений, действующих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сферы рыбного хозяйства (воспроизводство водных биологических ресурсов,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марикультура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, товарное рыбоводство, промышленное рыболовство,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рыбопереработка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и) представители профессиональных союзов и обществ, в том числе организаций, действующих в интересах кадрового обеспечения высокотехнологичных отраслей промышленности;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к) представители организаций, сфера деятельности которых связана с объединением профессиональных (независимых) директоров;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л) эксперты и специалисты иных направлений (конструкторы, инженеры, изобретатели,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инноваторы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, специалисты в области программного обеспечения, информационно-коммуникационных технологий, медицинских и биотехнологий,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, альтернативной энергетики и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>, нового материаловедения, представители научно-технологического и промышленно-делового сообщества, участники процесса, задействованные в рамках развития междисциплинарных исследований, направленных на прорывные разработки и открытия, и др.);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м) представители общественных палат субъектов Российской Федерации.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15. В случае необходимости в состав коллегиального органа помимо лиц, указанных в </w:t>
      </w:r>
      <w:hyperlink w:anchor="P92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стандарта, могут включаться иные участники (с учетом региональной специфики).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16. В состав коллегиального органа, а также отдельных специализированных рабочих групп по направлениям целесообразно включение: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представителей территориальных органов федеральных органов исполнительной власти;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уполномоченного по защите прав предпринимателей в субъекте Российской Федерации;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в) уполномоченного по правам человека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субъекте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представителей территориальных учреждений Центрального банка Российской Федерации.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17. Заседания коллегиального органа в очном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целесообразно проводить не реже одного раза в квартал.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орган, созданный в субъекте Российской Федерации с целью улучшения инвестиционного климата, либо на иной общественный координационный или совещательный орган, действующий в целях улучшения условий для ведения предпринимательской деятельности в субъекте Российской Федерации.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lastRenderedPageBreak/>
        <w:t>19. Материалы заседаний коллегиального органа являются открытыми и размещаются на официальном сайте уполномоченного органа в сети "Интернет".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IV. Утверждение перечня товарных рынков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20. Уполномоченный орган разрабатывает проект перечня товарных рынков,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21. В перечень товарных рынков включается не менее 33 товарных рынков из перечня товарных рынков согласно </w:t>
      </w:r>
      <w:hyperlink w:anchor="P323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AB7FA2">
        <w:rPr>
          <w:rFonts w:ascii="Times New Roman" w:hAnsi="Times New Roman" w:cs="Times New Roman"/>
          <w:sz w:val="24"/>
          <w:szCs w:val="24"/>
        </w:rPr>
        <w:t>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 "дорожной карте" предусматриваются соответствующие мероприятия по развитию конкуренции на таких товарных рынках.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Числовые значения ключевых показателей и мероприятия по развитию конкуренции на товарных рынках в "дорожной карте" определяются на период 2019 - 2022 годов с учетом необходимости обязательного достижения к 2022 году числовых значений ключевых показателей не ниже числовых значений, установленных приложением к стандарту.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2019 - 2022 годов определяются субъектами Российской Федерации самостоятельно с учетом специфики социально-экономического развития.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22. Перечень товарных рынков разрабатывается на основе анализа результатов мониторинга. При этом в него ежегодно вносятся изменения с учетом результатов указанного анализа.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23. Разработка перечня товарных рынков осуществляется в том числе на основе следующих данных: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а) информация территориальных органов федеральных органов исполнительной власти, в том числе информация территориального органа Федеральной антимонопольной службы,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Федерации, а также информация территориальных учреждений Центрального банка Российской Федерации (при ее наличии);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информация территориальных органов Федеральной антимонопольной службы,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в) показатели социально-экономического развития субъекта Российской Федерации (включая показатели по каждому из отдельных муниципальных образований);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инвестиционные приоритеты, определяемые субъектом Российской Федерации в установленном им порядке;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д) информация, содержащаяся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 Российской Федерации, субъекта Российской Федерации и муниципальных образований (при наличии);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е) результаты аналитических исследований и опросов субъектов предпринимательской деятельности, экспертов, потребителей товаров, работ, услуг, саморегулируемых организаций, профессиональных союзов и советов потребителей, а также общественных организаций, представляющих интересы потребителей, включая результаты мониторинга;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ж) информация научных, исследовательских, аналитических и проектных организаций, экспертные оценки состояния товарных рынков и отраслей региональной экономики, а также данные хозяйствующих субъектов об их деятельности.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24. Информация о разработке проекта перечня товарных рынков и его проект размещаются на официальном сайте уполномоченного органа в сети "Интернет". Субъектам предпринимательской деятельности, потребителям товаров, работ, услуг и общественным организациям, представляющим интересы потребителей, обеспечивается возможность представления замечаний и предложений по проекту перечня товарных рынков.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25. Проект перечня товарных рынков рассматривается на заседании коллегиального органа, одобряется им и выносится на утверждение высшего должностного лица.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V. Разработка "дорожной карты"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lastRenderedPageBreak/>
        <w:t>26. Утверждение "дорожной карты" осуществляется высшим должностным лицом.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27. "Дорожная карта" разрабатывается на основе анализа результатов мониторинга, лучших практик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работы органов исполнительной власти субъектов Российской Федерации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по внедрению стандарта, информации территориальных органов федеральных органов исполнительной власти, территориальных учреждений Центрального банка Российской Федерации и иных источников информации.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Допускается включение в "дорожную карту"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При этом в "дорожную карту" ежегодно вносятся изменения с учетом анализа результатов мониторинга и получаемой информации. Не допускается включение в "дорожную карту" фактически выполненных мероприятий с достигнутыми ключевыми показателями.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28. При разработке и реализации "дорожной карты", а также при внесении в нее изменений осуществляются: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определение процессов, необходимых для реализации требований по развитию конкуренции;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определение последовательности и взаимодействия этих процессов, а также их приоритетность;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в) определение критериев и методов, необходимых для обеспечения результативности и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как при осуществлении этих процессов, так и при управлении ими;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обеспечение ресурсов и информации, необходимых для поддержания этих процессов и их мониторинга;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д) определение принципов и порядка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взаимодействия органов исполнительной власти субъекта Российской Федерации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е) мероприятия, необходимые для достижения запланированных результатов.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29. Органы местного самоуправления при наличии соглашения могут быть соисполнителями мероприятий "дорожной карты".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30. Наряду с мероприятиями, сформированными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достижения ключевых показателей, в "дорожной карте" предусматриваются также системные мероприятия, которые должны быть направлены на развитие конкуренции в субъекте Российской Федерации, в том числе: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на развитие конкурентоспособности товаров, работ, услуг субъектов малого и среднего предпринимательства;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устранение случаев (снижение количества) осуществления закупки у единственного поставщика;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расширение участия субъектов малого и среднего предпринимательства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товаров, работ, услуг, осуществляемых с использованием конкурентных способов определения поставщиков (подрядчиков, исполнителей);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в)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прирост объема закупок у субъектов малого и среднего предпринимательства;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увеличение количества участников закупок из числа субъектов малого и среднего предпринимательства;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экономия средств заказчика за счет участия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закупках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на устранение избыточного государственного и муниципального регулирования, а также на снижение административных барьеров, включая: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проведение анализа практики реализации государственных функций и услуг, относящихся к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полномочиям субъекта Российской Федерации, а также муниципальных функций и услуг на предмет соответствия такой практики </w:t>
      </w:r>
      <w:hyperlink r:id="rId10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статьям 15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16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Федерального закона "О защите конкуренции";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"</w:t>
      </w:r>
      <w:hyperlink r:id="rId12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Об общих принципах организации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законодательных (представительных) и исполнительных органов государственной власти субъектов Российской Федерации" и "</w:t>
      </w:r>
      <w:hyperlink r:id="rId13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Об общих принципах организации местного самоуправления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в Российской Федерации", пунктов, предусматривающих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д)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е) на создание условий для недискриминационного доступа хозяйствующих субъектов на товарные рынки;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ж) на обеспечение и сохранение целевого использования государственных (муниципальных) объектов недвижимого имущества в социальной сфере;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з) на содействие развитию практики применения механизмов государственно-частного и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и)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>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к)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л) на 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м) на повышение в субъекте Российской Федерации цифровой грамотности населения, государственных гражданских служащих и работников бюджетной сферы в рамках соответствующей региональной программы;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н) на 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форме, а также социальную поддержку молодых специалистов в различных сферах экономической деятельности;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о)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и муниципальной собственности, путем размещения указанной информации на официальном сайте Российской Федерации в сети "Интернет" для размещения информации о проведении торгов (www.torgi.gov.ru) и на официальном сайте уполномоченного органа в сети "Интернет";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п) на мобильность трудовых ресурсов, способствующую повышению эффективности труда, включающую предварительное исследование потребностей товарного рынка, обучение и привлечение рабочей силы с квалификацией, соответствующей потребностям товарного рынка, в том числе привлечение высококвалифицированной рабочей силы из-за рубежа (приоритетом являются научно-технологические кадры);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р) на содействие развитию и поддержке междисциплинарных исследований, включая обеспечение условий для коммерциализации и промышленного масштабирования результатов, полученных по итогам проведения таких исследований;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с) на развитие механизмов практико-ориентированного (дуального) образования и механизмов кадрового обеспечения высокотехнологичных отраслей промышленности по сквозным рабочим профессиям (с учетом стандартов и разработок международной организации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Интернешнл (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), а также на содействие включению обучающихся,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Abilympic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Federation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т) на создание институциональной среды, способствующей внедрению инноваций и увеличению возможности хозяйствующих субъектов по внедрению новых технологических решений;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у) на содействие созданию и развитию институтов поддержки субъектов малого предпринимательства в инновационной деятельности (прежде всего финансирование начальной стадии развития организации и гарантия непрерывности поддержки), обеспечивающих благоприятную экономическую среду для среднего и крупного бизнеса;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ф)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прошедшего обучение по повышению финансовой грамотности в рамках </w:t>
      </w:r>
      <w:hyperlink r:id="rId14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х)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субъекта Российской Федерации;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ц) на повышение доступности финансовых услуг для субъектов экономической деятельности;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ч) на реализацию мер, направленных на выравнивание условий конкуренции как в рамках товарных рынков внутри субъекта Российской Федерации (включая темпы роста цен), так и между субъектами Российской Федерации (включая темпы роста и уровни цен);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ш)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щ)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ы) на организацию в государственных жилищных инспекциях в субъектах Российской Федерации горячей телефонной линии, а также электронной формы обратной связи в сети "Интернет" (с возможностью прикрепления файлов фото- и видеосъемки);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э)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внедрение которых целесообразно осуществить на всей территории субъекта Российской Федерации, в рамках соответствующего соглашения или меморандума между органами исполнительной власти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и органами местного самоуправления.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31. "Дорожная карта" должна содержать следующую информацию: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исходная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субъекта Российской Федерации, и ее проблематики;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сведения о мероприятиях (с указанием срока их разработки и реализации), обеспечивающих достижение установленных результатов (целей);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в) результаты (цели) и ключевые показатели развития конкуренции (с указанием срока их достижения);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г) сведения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исполнителях и соисполнителях, ответственных за разработку и реализацию мероприятий, обеспечивающих достижение установленных результатов (целей).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32. Планируется, что мероприятия, предусмотренные "дорожной картой", затронут все сферы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при возможном взаимодействии по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соисполнению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этих мероприятий (предусматриваемом в рамках соглашения) в соответствии с реализуемыми функциями и полномочиями, напрямую или косвенно влияющими на развитие конкуренции.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33. Предусматривается включение в "дорожную карту" самостоятельных мероприятий, не входящих в планы мероприятий иных стратегических и программных документов субъекта Российской Федерации.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Мероприятия, предусмотренные иными утвержденными в установленном порядке на федеральном уровне и (или) на уровне субъекта Российской Федерации стратегическими и программными документами, реализация которых оказывает влияние на состояние конкуренции, служат неотъемлемым дополнением к мероприятиям, предусмотренным "дорожной картой", и указываются в приложении к ней.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34. С учетом соглашения в "дорожную карту" могут включаться мероприятия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муниципальных образований.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lastRenderedPageBreak/>
        <w:t xml:space="preserve">35.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Каждому органу исполнительной власти субъекта Российской Федерации и каждому органу местного самоуправления, являющимся ответственными за выполнение мероприятий, предусмотренных "дорожной картой", рекомендуется разработать и утвердить план по реализации таких мероприятий.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36. Предполагается, что проект "дорожной карты" должен рассматриваться, одобряться и выноситься на рассмотрение высшего должностного лица коллегиальным органом.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37. Информация о "дорожной карте" и реализации ее отдельных мероприятий размещается на официальном сайте уполномоченного органа в сети "Интернет".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VI. Проведение мониторинга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Уполномоченный орган ежегодно организует проведение мониторинга, для эффективности которого высшим должностным лицом субъекта Российской Федерации и высшими должностными лицами субъектов Российской Федерации, имеющих с указанным субъектом Российской Федерации общие территориальные границы, может быть заключено соглашение о проведении исследования межрегиональных границ товарных рынков,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>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4"/>
      <w:bookmarkEnd w:id="2"/>
      <w:r w:rsidRPr="00AB7FA2">
        <w:rPr>
          <w:rFonts w:ascii="Times New Roman" w:hAnsi="Times New Roman" w:cs="Times New Roman"/>
          <w:sz w:val="24"/>
          <w:szCs w:val="24"/>
        </w:rPr>
        <w:t>39. Мониторинг включает в себя: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мониторинг наличия (отсутствия) административных барьеров и оценки состояния конкуренции субъектами предпринимательской деятельности, предусматривающий: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выделение групп субъектов предпринимательской деятельности (малый, средний, крупный бизнес), а также вида деятельности (наименование товарного рынка, на котором субъект предпринимательской деятельности, представляющий свою оценку состояния конкуренции, осуществляет фактическую предпринимательскую деятельность);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сбор данных о состоянии и изменении конкуренции, а также построение на основе указанных данных репрезентативных оценок в отношении субъекта Российской Федерации и сегментов бизнеса;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сбор данных о наличии и уровне административных барьеров в сферах регулирования, в том числе данных о наличии жалоб в надзорные органы по этой проблематике и динамике их поступления в сравнении с предыдущим отчетным периодом, а также формирование на основе указанных данных репрезентативных оценок в отношении субъекта Российской Федерации и сегментов бизнеса;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сбор данных о возможностях недискриминационного доступа на товарные рынки субъекта Российской Федерации, а также товарные рынки субъектов Российской Федерации, имеющих с ним общие территориальные границы, в части появления новых хозяйствующих субъектов и начала осуществления ими предпринимательской деятельности;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сбор данных о продолжительности осуществления предпринимательской деятельности хозяйствующих субъектов, деятельность которых начата в период не ранее 5 и не позже 3 лет до начала сбора указанных данных;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мониторинг удовлетворенности потребителей качеством товаров, работ, услуг на товарных рынках субъекта Российской Федерации и состоянием ценовой конкуренции, предусматривающий: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выделение групп потребителей товаров, работ, услуг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с их социальным статусом (учащиеся, пенсионеры и др.);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сбор данных о восприятии и динамике оценки потребителями состояния конкуренции между продавцами товаров, работ, услуг в субъекте Российской Федерации посредством ценообразования;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сбор данных об удовлетворенности потребителей, приобретавших товар, работу, услугу в определенный период, качеством товара, работы,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сбор данных об удовлетворенности потребителей, приобретавших товар, работу, услугу в определенный период, качеством товаров, работ, услуг, произведенных (оказываемых) в субъекте Российской Федерации, а также произведенных (оказываемых) соответственно в субъектах Российской Федерации, имеющих с ним общие территориальные границы;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в) мониторинг удовлетворенности субъектов предпринимательской деятельности и потребителей товаров, работ, услуг качеством (в том числе уровнем доступности, понятности и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>удобства получения) официальной информации о состоянии конкуренции на товарных рынках субъекта Российской Федерации и деятельности по содействию развитию конкуренции, размещаемой уполномоченным органом и муниципальными образованиями;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мониторинг деятельности субъектов естественных монополий на территории субъекта Российской Федерации, предусматривающий: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формирование перечня товарных рынков, на которых присутствуют субъекты естественных монополий;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сбор данных о развитии конкуренции и удовлетворенности качеством товаров, работ, услуг на выявленных товарных рынках как со стороны субъектов предпринимательской деятельности, взаимодействующих прямо или косвенно в экономической деятельности с субъектами естественных монополий, в том числе в электронном виде, так и со стороны потребителей товаров, работ, услуг, предоставляемых субъектами естественных монополий;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сбор и анализ данных об уровнях тарифов (цен), установленных уполномоченным органом исполнительной власти субъекта Российской Федерации в области государственного регулирования тарифов, за текущий и прошедший периоды;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сбор и анализ данных о количестве нарушений субъектами естественных монополий установленных тарифов в соответствующих сферах регулирования (электроэнергетика, теплоснабжение, водоснабжение и водоотведение, газоснабжение) с учетом тарифов на технологическое подключение к указанным видам инфраструктуры;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оценок, осуществляемых представителями потребителей товаров, работ, услуг, задействованными в механизмах общественного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сбор и анализ данных об оказываемых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организациями и субъектами естественных монополий услугах по подключению (технологическому присоединению) к сетям инженерно-технического обеспечения в электронном виде, а также об оказании указанных услуг на базе многофункциональных центров предоставления государственных и муниципальных услуг;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д) мониторинг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субъекта Российской Федерации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на котором осуществляется такая деятельность, а также с указанием доли занимаемого товарного рынка каждого такого хозяйствующего субъекта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бюджета субъекта Российской Федерации и бюджетов муниципальных образований);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е) мониторинг удовлетворенности населения деятельностью в сфере финансовых услуг, осуществляемой на территории субъекта Российской Федерации, предусматривающий: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сбор данных об уровне удовлетворенности населения деятельностью финансовых организаций на территории субъекта Российской Федерации, а также различными финансовыми продуктами и услугами (в рамках кредитования, сбережения и размещения свободных денежных средств, оказания платежных услуг, услуг страхования), в том числе их качеством, доступностью, стоимостью и др.;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которого ежегодно публикуются на официальном сайте в сети "Интернет";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ж) мониторинг доступности для населения финансовых услуг, оказываемых на территории субъекта Российской Федерации, предусматривающий: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использование официальной статистики Центрального банка Российской Федерации в отношении деятельности финансовых организаций;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lastRenderedPageBreak/>
        <w:t>сбор данных об использовании населением финансовых продуктов и услуг различных финансовых организаций в определенный период (за последний год до опроса) и на конец периода (на дату опроса), возможности использования различных способов доступа к финансовым услугам (в том числе дистанционным), а также существующих барьерах для доступа к финансовым услугам;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сбор данных об оценке населением своего уровня финансовой грамотности (осведомленности, знаний, навыков, установок и поведения);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анализ собранных данных в целом по населению и по выделенным группам населения в соответствии с их основным занятием (работающий по найму, предприниматель,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>, пенсионер (в том числе по инвалидности), учащийся, студент, временно не работающий, безработный и др.) по субъекту Российской Федерации, в том числе в сравнении с результатами общероссийского опроса, проводимого Центральным банком Российской Федерации в рамках мониторинга финансовой доступности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которого ежегодно публикуются на официальном сайте в сети "Интернет";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з) мониторинг цен (с учетом динамики) на товары, входящие в </w:t>
      </w:r>
      <w:hyperlink r:id="rId15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вознаграждения", а также проведение оценки факторов, способных оказать влияние на такие цены (например, изменение стоимости топлива, электрической энергии, основного сырья в пищевом производстве, аренды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и) мониторинг логистических возможностей субъекта Российской Федерации с учетом логистических возможностей субъектов Российской Федерации, имеющих с ним общие территориальные границы, включающий сбор и анализ данных об обеспеченности его транспортной инфраструктурой, времени и объеме ее пропускной способности, существующих транспортных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хабах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и потенциале создания новых, а также о сервисной и сопутствующей инфраструктуре, необходимой как для транспортных средств, так и для работников, задействованных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сегменте, включая наличие стабильной подвижной радиотелефонной связи на удаленных дорогах;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к) мониторинг развития передовых производственных технологий и их внедрения, а также процесса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экономики и формирования ее новых рынков и секторов.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40. При проведении мониторинга уполномоченный орган использует в том числе: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а) результаты опросов субъектов предпринимательской деятельности, экспертов, потребителей товаров, работ, услуг, проводимых уполномоченным органом, общероссийскими общественными организациями (в том числе Общероссийской общественной организацией малого и среднего предпринимательства "ОПОРА РОССИИ", Общероссийской общественной организацией "Деловая Россия", Общероссийской общественной организацией "Российский союз промышленников и предпринимателей", Торгово-промышленной палатой Российской Федерации), ассоциациями (союзами) и организациями, представляющими интересы потребителей;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обращения субъектов предпринимательской деятельности, экспертов, потребителей товаров, работ, услуг, касающиеся состояния конкуренции, в органы исполнительной власти субъекта Российской Федерации, политические и общественные организации, в частности организации, представляющие интересы субъектов предпринимательской деятельности и потребителей товаров, работ, услуг;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в) информацию о результатах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человека, с которыми для получения указанной информации предполагается заключение соответствующих соглашений;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г) информацию научных, исследовательских, аналитических и проектных организаций, в том числе структурных подразделений федерального государственного бюджетного учреждения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>"Российская академия наук" в субъекте Российской Федерации (при наличии), экспертные оценки состояния товарных рынков и отраслей региональной экономики, информацию хозяйствующих субъектов об их деятельности, а также иные данные, в том числе данные, опубликованные в средствах массовой информации;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д) информацию о результатах мониторинга, организация проведения которого планируется в рамках соглашения и может стать частью мероприятий, предусмотренных "дорожной картой", осуществляемого муниципальными образованиями;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е) показатели, характеризующие состояние экономики и социальной сферы каждого муниципального образования;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ж) информацию о результатах общественного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з) информацию о результатах анализа правоприменительной практики территориальных органов Федеральной антимонопольной службы, которая представляется Федеральной антимонопольной службой, в том числе о доле оспоренных в судах решений территориальных органов Федеральной антимонопольной службы, а также о доле их решений, вступивших в законную силу, с разбивкой по направлениям деятельности;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и) информацию территориальных органов Федеральной антимонопольной службы,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46"/>
      <w:bookmarkEnd w:id="3"/>
      <w:r w:rsidRPr="00AB7FA2">
        <w:rPr>
          <w:rFonts w:ascii="Times New Roman" w:hAnsi="Times New Roman" w:cs="Times New Roman"/>
          <w:sz w:val="24"/>
          <w:szCs w:val="24"/>
        </w:rPr>
        <w:t>41.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данные по ожидаемому потребителями темпу роста цен;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перечни товарных рынков,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Федерации, имеющих с таким субъектом Российской Федерации общие территориальные границы, или среднероссийским уровнем;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в)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(за последний год до опроса) и на конец периода (на день опроса), а также использования различных способов доступа к финансовым услугам (в том числе дистанционным) и существующих барьеров для доступа к финансовым услугам;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данные об удовлетворенности субъектами малого и среднего предпринимательства работой финансовых организаций, осуществляющих деятельность в субъекте Российской Федерации, и различными финансовыми продуктами и услугами;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д)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42. Территориальное учреждение Центрального банка Российской Федерации вправе представить в уполномоченный орган указанную в </w:t>
      </w:r>
      <w:hyperlink w:anchor="P246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пункте 41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стандарта информацию.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43. Министерство экономического развития Российской Федерации по согласованию с Федеральной антимонопольной службой, а также при участии Центрального банка Российской Федерации и автономной некоммерческой организации "Агентство стратегических инициатив по продвижению новых проектов" утверждает единую </w:t>
      </w:r>
      <w:hyperlink r:id="rId16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</w:t>
      </w:r>
      <w:hyperlink w:anchor="P204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пунктами 39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6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41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стандарта, а также установить критерии: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оценки состояния конкуренции субъектами предпринимательской деятельности;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установления наличия и уровня административных барьеров и их оценки субъектами предпринимательской деятельности;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в) удовлетворенности потребителей качеством товаров, работ, услуг на товарных рынках субъекта Российской Федерации, а также состоянием ценовой конкуренции;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иные критерии.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44.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На основе мониторинга наличия административных барьеров и оценки состояния конкуренции, результаты которых представляются субъектами предпринимательской деятельности, а также мониторинга удовлетворенности потребителей качеством товаров, работ, услуг на товарных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>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самоуправления, которые могут быть включены в показатели деятельности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 субъекта Российской Федерации и органов местного самоуправления (в рамках соглашения).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45. Результаты мониторинга наличия административных барьеров и оценки состояния конкуренции, представляемые субъектами предпринимательской деятельности, а также мониторинга удовлетворенности потребителей качеством товаров, работ,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46. По результатам мониторинга уполномоченный орган подготавливает проект доклада, содержащий в том числе: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а) характеристику состояния конкуренции на товарных рынках, включенных в </w:t>
      </w:r>
      <w:hyperlink w:anchor="P323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товарных рынков, а также анализ факторов, ограничивающих конкуренцию;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б) данные мониторинга наличия административных барьеров и оценки состояния конкуренции субъектами предпринимательской деятельности, а также мониторинга удовлетворенности потребителей качеством товаров, работ, услуг на товарных рынках субъекта Российской Федерации;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в) информацию о результатах общественного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монополий, а также об эффективности контрольно-надзорной деятельности в субъекте Российской Федерации;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г) анализ результативности и эффективности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деятельности органов исполнительной власти субъекта Российской Федерации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по содействию развитию конкуренции, включая оценку результатов реализации мероприятий, предусмотренных "дорожной картой";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д) предложения о повышении эффективности и результативности деятельности органов исполнительной власти субъекта Российской Федерации, органов местного самоуправления и территориальных органов федеральных органов исполнительной власти в области содействия развитию конкуренции, а также об улучшении качества (уровня доступности, полноты, скорости и удобства получения) официальной информации о деятельности территориальных органов федеральных органов исполнительной власти, в том числе Федеральной антимонопольной службы, Федеральной налоговой службы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>, Федеральной службы государственной статистики, Федеральной службы государственной регистрации, кадастра и картографии и Федеральной службы по надзору в сфере защиты прав потребителей и благополучия человека;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е) оценку успешности и итогов реализации ведомственных приоритетных проектов, входящих в состав региональной приоритетной программы по внедрению стандарта,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доли достигнутых показателей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количестве показателей;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средней суммы фактических значений достижения показателей (процентов плана);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доли показателей, по которым приняты корректирующие решения,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количестве показателей региональной приоритетной программы по внедрению стандарта;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доли достигнутых показателей, закрепленных за органом исполнительной власти субъекта Российской Федерации в установленной сфере ведения, в общем количестве показателей, по которым приняты корректирующие решения;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доли выполненных мероприятий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количестве мероприятий;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доли выполненных мероприятий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количестве мероприятий, по которым приняты корректирующие решения;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доли показателей, достигнутых в запланированные сроки,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количестве показателей в соответствии с ключевыми этапами и контрольными точками.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47. Доклад рассматривается и утверждается коллегиальным органом и размещается на официальном сайте уполномоченного органа в сети "Интернет".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48. Доклад направляется ежегодно, до 10 марта года, следующего за отчетным, уполномоченным органом в Министерство экономического развития Российской Федерации, Федеральную антимонопольную службу, Центральный банк Российской Федерации, а также автономной некоммерческой организации "Агентство стратегических инициатив по продвижению новых проектов".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lastRenderedPageBreak/>
        <w:t xml:space="preserve">49.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"Агентство стратегических инициатив по продвижению новых проектов"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изменений, направленных на развитие конкуренции и улучшение условий ведения предпринимательской деятельности в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50. На основе предложений об улучшении деятельности в области содействия развитию конкуренции, содержащихся в докладе, коллегиальный орган вносит предложения о корректировке "дорожной карты".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VII. Создание и реализация механизмов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деятельностью субъектов естественных монополий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51.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</w:t>
      </w:r>
      <w:hyperlink r:id="rId17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Концепцией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создания и развития механизмов общественного контроля за деятельностью субъектов естественных монополий с участием потребителей, утвержденной распоряжением Правительства Российской Федерации от 19 сентября 2013 г. N 1689-р, а также внедрение механизма технологического и ценового аудита инвестиционных проектов субъектов естественных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монополий и крупных инвестиционных проектов с государственным участием, проведение которого целесообразно осуществлять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объектов сметной стоимостью от 1 млрд. рублей.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 рамках указанных механизмов обеспечивается учет мнения потребителей товаров, работ, услуг субъектов естественных монополий при осуществлении тарифного регулирования, а также при согласовании и утверждении схем территориального планирования субъектов Российской Федерации и муниципальных районов, генеральных планов поселений и городских округов.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Также могут быть учтены мнения представителей потребителей товаров, работ, услуг, задействованных в механизмах общественного контроля за деятельностью субъектов естественных монополий, при согласовании и утверждении инвестиционных программ субъектов естественных монополий.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кампании, обеспечивающие донесение до всех участников общественного контроля информации о порядке проведения указанных процедур.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Под учетом мнения потребителей товаров, работ, услуг понимается необходимость на всех стадиях рассмотрения инвестиционных проектов (программ) субъектов естественных монополий, схем территориального планирования субъектов Российской Федерации и муниципальных районов, генеральных планов поселений и городских округов и принятия решений по тарифам получать мнения потребителей товаров, работ, услуг, предпринимателей и экспертов, задействованных в рамках общественного контроля за деятельностью субъектов естественных монополий, в случае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несогласия с мнениями указанных лиц давать в письменной форме развернутые обоснованные ответы на них с указанием причин несогласия, обеспечивать для представителей таких потребителей товаров, работ, услуг полноту доступа к информации, раскрытие которой предусмотрено законодательством Российской Федерации, а также открытость и публичность указанного взаимодействия.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52. Органы исполнительной власти субъекта Российской Федерации в рамках полномочий, закрепленных за ними законодательством Российской Федерации, обеспечивают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раскрытием информации и деятельностью субъектов естественных монополий. Высшее должностное лицо обеспечивает общественный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деятельностью органов исполнительной власти субъекта Российской Федерации,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89"/>
      <w:bookmarkEnd w:id="4"/>
      <w:r w:rsidRPr="00AB7FA2">
        <w:rPr>
          <w:rFonts w:ascii="Times New Roman" w:hAnsi="Times New Roman" w:cs="Times New Roman"/>
          <w:sz w:val="24"/>
          <w:szCs w:val="24"/>
        </w:rPr>
        <w:t xml:space="preserve">53. Субъектам естественных монополий, осуществляющим деятельность на территории субъекта Российской Федерации, необходимо размещать для общего сведения информацию о своей деятельности, обязательное раскрытие которой предусмотрено законодательством Российской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>Федерации, в том числе: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информацию о реализуемых и планируемых к реализации на территории субъекта Российской Федерации инвестиционных программах, включая ключевые показатели эффективности реализации таких программ;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б) информацию о результатах технологического и ценового аудита инвестиционных проектов с указанием экспертной организации, осуществляющей технологический и ценовой аудит, об условиях заключенного с такой экспертной организацией договора на проведение технологического и ценового аудита (техническом задании, цене договора, сроках исполнения этапов работ по договору), а также об итогах экспертного обсуждения результатов технологического и ценового аудита представителями потребителей товаров, работ, услуг, задействованными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общественного контроля за деятельностью субъектов естественных монополий;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в) информацию о структуре тарифов на услуги (включая проект тарифной заявки), параметрах качества и надежности предоставляемых товаров, работ, услуг, стандартах качества товаров, работ, услуг (стандартах качества обслуживания потребителей товаров, работ, услуг) и процедурах предоставления товаров, работ, услуг потребителям, а также о наличии в составе инвестиционного комитета при совете директоров субъектов естественных монополий представителей потребителей товаров, работ, услуг субъектов естественных монополий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и независимых экспертов;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г) иную информацию о своей деятельности, обязательное раскрытие которой предусмотрено законодательством Российской Федерации.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54.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Раскрытие информации, указанной в </w:t>
      </w:r>
      <w:hyperlink w:anchor="P289" w:history="1">
        <w:r w:rsidRPr="00AB7FA2">
          <w:rPr>
            <w:rFonts w:ascii="Times New Roman" w:hAnsi="Times New Roman" w:cs="Times New Roman"/>
            <w:color w:val="0000FF"/>
            <w:sz w:val="24"/>
            <w:szCs w:val="24"/>
          </w:rPr>
          <w:t>пункте 53</w:t>
        </w:r>
      </w:hyperlink>
      <w:r w:rsidRPr="00AB7FA2">
        <w:rPr>
          <w:rFonts w:ascii="Times New Roman" w:hAnsi="Times New Roman" w:cs="Times New Roman"/>
          <w:sz w:val="24"/>
          <w:szCs w:val="24"/>
        </w:rPr>
        <w:t xml:space="preserve"> стандарта, осуществляется в установленном законодательством Российской Федерации порядке на определяемом Правительством Российской Федерации интернет-портале, в том числе с помощью ссылок на указанную информацию, размещенную на официальных сайтах субъектов естественных монополий и органов исполнительной власти субъекта Российской Федерации в сети "Интернет", включая интернет-портал субъекта Российской Федерации, созданный с целью информирования об инвестиционных возможностях субъекта Российской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55.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"Интернет":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 xml:space="preserve">а)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(технологического присоединения) к сетям территориальных сетевых организаций 110-35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с детализацией информации о количестве поданных заявок и заключенных договоров на технологическое присоединение, а также о планируемых сроках их строительства и реконструкции в соответствии с утвержденной инвестиционной программой;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б) информации, отображающей на географической карте субъекта Российской Федерации ориентировочное место подключения (технологического присоединения) к сетям газораспределительных станций, включая информацию о проектной мощности (пропускной способности) газораспределительных станций и наличии свободных резервов мощности и размере этих резервов, а также о планируемых сроках строительства и реконструкции газораспределительных станций в соответствии с утвержденной инвестиционной программой (с указанием перспективной мощности газораспределительных станций по окончании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ее строительства, реконструкции);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в) информации об услугах (подача заявки на технологическое присоединение, подача правоустанавливающих документов (по объекту, юридическому и физическому лицу, участку), подача заявки на заключение договора, расчет предположительной стоимости технологического присоединения, отслеживание (мониторинг) хода (статуса) технологического присоединения, получение условий технологического присоединения, заключение и получение договора о технологическом присоединении, внесение платежа по договору о технологическом присоединении, запись на прием для сдачи необходимой части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документов на бумажном носителе) по подключению (технологическому присоединению) к сетям газораспределения, к электрическим сетям, к системам теплоснабжения, к централизованным системам водоснабжения и водоотведения, оказываемых в электронном виде субъектами естественных монополий и </w:t>
      </w:r>
      <w:proofErr w:type="spellStart"/>
      <w:r w:rsidRPr="00AB7FA2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AB7FA2">
        <w:rPr>
          <w:rFonts w:ascii="Times New Roman" w:hAnsi="Times New Roman" w:cs="Times New Roman"/>
          <w:sz w:val="24"/>
          <w:szCs w:val="24"/>
        </w:rPr>
        <w:t xml:space="preserve"> организациями физическим и юридическим лицам.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56.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</w:t>
      </w:r>
      <w:r w:rsidRPr="00AB7FA2">
        <w:rPr>
          <w:rFonts w:ascii="Times New Roman" w:hAnsi="Times New Roman" w:cs="Times New Roman"/>
          <w:sz w:val="24"/>
          <w:szCs w:val="24"/>
        </w:rPr>
        <w:lastRenderedPageBreak/>
        <w:t>развития субъекта Российской Федерации и муниципальных образований, а также с иными документами стратегического планирования Российской Федерации.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VIII. Повышение уровня информированности субъектов</w:t>
      </w: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предпринимательской деятельности и потребителей товаров,</w:t>
      </w: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работ, услуг о состоянии конкуренции и деятельности</w:t>
      </w: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по содействию развитию конкуренции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57. На официальном сайте уполномоченного органа в сети "Интернет" в отдельном разделе размещаются информация о выполнении требований стандарта и мероприятий, предусмотренных "дорожной картой", документы, принимаемые во исполнение стандарта и "дорожной карты" и в целях содействия развитию конкуренции, а также сведения об эффекте, достигнутом при внедрении стандарта. Аналогичная информация размещается в отдельном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интернет-портала об инвестиционной деятельности в субъекте Российской Федерации.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Информация о деятельности органов исполнительной власти субъекта Российской Федерации и органов местного самоуправления (в рамках соглашения) по содействию развитию конкуренции также размещается для общего сведения в средствах массовой информации.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в сети "Интернет" и интернет-портале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(включая отдельный подраздел для производителей сельскохозяйственной продукции), систематизированная по приоритетам развития субъекта Российской Федерации и видам деятельности, с указанием порядка получения указанной поддержки (в том числе в виде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схемы) и показателей эффективности региональной программы, в рамках которой осуществляется эта деятельность.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Общественным организациям, представляющим интересы субъектов предпринимательской деятельности и потребителей товаров, работ, услуг, а также представителям потребителей товаров, работ, услуг, задействованным в механизмах общественного контроля за деятельностью субъектов естественных монополий (в том числе с учетом результатов технологического и ценового аудита инвестиционных проектов субъектов естественных монополий), должна обеспечиваться возможность размещения на официальном сайте уполномоченного органа в сети "Интернет" либо ином специализированном интернет-портале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>: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а)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товаров, работ, услуг;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FA2">
        <w:rPr>
          <w:rFonts w:ascii="Times New Roman" w:hAnsi="Times New Roman" w:cs="Times New Roman"/>
          <w:sz w:val="24"/>
          <w:szCs w:val="24"/>
        </w:rPr>
        <w:t>б) экспертных заключений указанных общественных организаций (представителей потребителей товаров, работ, услуг) на размещенные на официальных сайтах органов исполнительной власти субъекта Российской Федерации и органов местного самоуправления в сети "Интернет" документы и информацию;</w:t>
      </w:r>
      <w:proofErr w:type="gramEnd"/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в) вопросов и предложений, адресованных высшему должностному лицу и органам исполнительной власти субъекта Российской Федерации.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59. В целях общественного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службы, проводимых не реже 1 раза в 6 месяцев, обсуждаются вопросы достижения ключевых показателей развития конкуренции и внедрения стандарта.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Приложение</w:t>
      </w:r>
    </w:p>
    <w:p w:rsidR="00AB7FA2" w:rsidRPr="00AB7FA2" w:rsidRDefault="00AB7FA2" w:rsidP="00AB7FA2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к стандарту развития конкуренции</w:t>
      </w:r>
    </w:p>
    <w:p w:rsidR="00AB7FA2" w:rsidRPr="00AB7FA2" w:rsidRDefault="00AB7FA2" w:rsidP="00AB7FA2">
      <w:pPr>
        <w:pStyle w:val="ConsPlusNormal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B7FA2">
        <w:rPr>
          <w:rFonts w:ascii="Times New Roman" w:hAnsi="Times New Roman" w:cs="Times New Roman"/>
          <w:sz w:val="24"/>
          <w:szCs w:val="24"/>
        </w:rPr>
        <w:t>субъектах</w:t>
      </w:r>
      <w:proofErr w:type="gramEnd"/>
      <w:r w:rsidRPr="00AB7FA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AB7FA2" w:rsidRPr="00AB7FA2" w:rsidRDefault="00AB7FA2" w:rsidP="00AB7FA2">
      <w:pPr>
        <w:pStyle w:val="ConsPlusNormal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23"/>
      <w:bookmarkEnd w:id="5"/>
      <w:r w:rsidRPr="00AB7FA2">
        <w:rPr>
          <w:rFonts w:ascii="Times New Roman" w:hAnsi="Times New Roman" w:cs="Times New Roman"/>
          <w:sz w:val="24"/>
          <w:szCs w:val="24"/>
        </w:rPr>
        <w:t>ПЕРЕЧЕНЬ</w:t>
      </w: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t>ТОВАРНЫХ РЫНКОВ ДЛЯ СОДЕЙСТВИЯ РАЗВИТИЮ КОНКУРЕНЦИИ</w:t>
      </w:r>
    </w:p>
    <w:p w:rsidR="00AB7FA2" w:rsidRPr="00AB7FA2" w:rsidRDefault="00AB7FA2" w:rsidP="00AB7FA2">
      <w:pPr>
        <w:pStyle w:val="ConsPlusTitle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B7FA2">
        <w:rPr>
          <w:rFonts w:ascii="Times New Roman" w:hAnsi="Times New Roman" w:cs="Times New Roman"/>
          <w:sz w:val="24"/>
          <w:szCs w:val="24"/>
        </w:rPr>
        <w:lastRenderedPageBreak/>
        <w:t>В СУБЪЕКТЕ РОССИЙСКОЙ ФЕДЕРАЦИИ</w:t>
      </w:r>
    </w:p>
    <w:p w:rsidR="00AB7FA2" w:rsidRPr="00AB7FA2" w:rsidRDefault="00AB7FA2" w:rsidP="00AB7FA2">
      <w:pPr>
        <w:pStyle w:val="ConsPlusNormal"/>
        <w:ind w:left="142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90" w:type="dxa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46"/>
        <w:gridCol w:w="6045"/>
        <w:gridCol w:w="1870"/>
      </w:tblGrid>
      <w:tr w:rsidR="00AB7FA2" w:rsidRPr="00AB7FA2" w:rsidTr="00640004"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6045" w:type="dxa"/>
            <w:tcBorders>
              <w:top w:val="single" w:sz="4" w:space="0" w:color="auto"/>
              <w:bottom w:val="single" w:sz="4" w:space="0" w:color="auto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Наименование клю</w:t>
            </w:r>
            <w:bookmarkStart w:id="6" w:name="_GoBack"/>
            <w:bookmarkEnd w:id="6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чевого показателя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Минимальное значение ключевого показателя в 2022 году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1,6, но не менее 1 частной организации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1, но не менее 1 частной организации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обучающихся в частных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в общем числе обучающихся в образовательных организациях, реализующих основные профессиональные образовательные программы - образовательные программы среднего профессионального образования, процентов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5, но не менее 1 частной организации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proofErr w:type="gram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услуг </w:t>
            </w:r>
            <w:proofErr w:type="gram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розничной торговли </w:t>
            </w: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лекарственными препаратами, медицинскими изделиями и сопутствующими товарами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</w:t>
            </w: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сопутствующими товарами,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реабилитации, процентов</w:t>
            </w:r>
            <w:proofErr w:type="gramEnd"/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</w:t>
            </w:r>
            <w:proofErr w:type="gram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Рынок поставки сжиженного газа в </w:t>
            </w:r>
            <w:proofErr w:type="gram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баллонах</w:t>
            </w:r>
            <w:proofErr w:type="gramEnd"/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доля сельскохозяйственных потребительских кооперативов в </w:t>
            </w:r>
            <w:proofErr w:type="gram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proofErr w:type="gramEnd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 объеме реализации сельскохозяйственной продукции,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Рынок лабораторных исследований для </w:t>
            </w: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выдачи ветеринарных сопроводительных документов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сфере лабораторных исследований для выдачи ветеринарных сопроводительных документов, </w:t>
            </w: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племенного животноводства,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производства кирпича,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производства бетона,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7FA2" w:rsidRPr="00AB7FA2" w:rsidTr="00640004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6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FA2" w:rsidRPr="00AB7FA2" w:rsidRDefault="00AB7FA2" w:rsidP="00AB7FA2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B7FA2" w:rsidRPr="00AB7FA2" w:rsidRDefault="00AB7FA2" w:rsidP="00AB7FA2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B7FA2" w:rsidRPr="00AB7FA2" w:rsidRDefault="00AB7FA2" w:rsidP="00AB7FA2">
      <w:pPr>
        <w:pStyle w:val="ConsPlusNormal"/>
        <w:pBdr>
          <w:top w:val="single" w:sz="6" w:space="0" w:color="auto"/>
        </w:pBd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1534" w:rsidRPr="00AB7FA2" w:rsidRDefault="00640004" w:rsidP="00AB7FA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9A1534" w:rsidRPr="00AB7FA2" w:rsidSect="00AB7FA2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A2"/>
    <w:rsid w:val="00313CBC"/>
    <w:rsid w:val="00640004"/>
    <w:rsid w:val="00AB7FA2"/>
    <w:rsid w:val="00E6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7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7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15261914F31B82D4C7BA2518DA221B24C0E21479E3DE20C77701F47151B2DF59CBAB758588AFB1B0FA69A5BC31320E41E0F445A0FFED4dDJ0M" TargetMode="External"/><Relationship Id="rId13" Type="http://schemas.openxmlformats.org/officeDocument/2006/relationships/hyperlink" Target="consultantplus://offline/ref=7AF15261914F31B82D4C7BA2518DA221B34009264D9F3DE20C77701F47151B2DE79CE2BB595894F8171AF0CB1Dd9J6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F15261914F31B82D4C7BA2518DA221B2440F2E4D903DE20C77701F47151B2DE79CE2BB595894F8171AF0CB1Dd9J6M" TargetMode="External"/><Relationship Id="rId12" Type="http://schemas.openxmlformats.org/officeDocument/2006/relationships/hyperlink" Target="consultantplus://offline/ref=7AF15261914F31B82D4C7BA2518DA221B34009264D9F3DE20C77701F47151B2DE79CE2BB595894F8171AF0CB1Dd9J6M" TargetMode="External"/><Relationship Id="rId17" Type="http://schemas.openxmlformats.org/officeDocument/2006/relationships/hyperlink" Target="consultantplus://offline/ref=7AF15261914F31B82D4C7BA2518DA221B2440F24499F3DE20C77701F47151B2DF59CBAB758588AF9100FA69A5BC31320E41E0F445A0FFED4dDJ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AF15261914F31B82D4C7BA2518DA221B3400C2F4B913DE20C77701F47151B2DF59CBAB758588AF81B0FA69A5BC31320E41E0F445A0FFED4dDJ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15261914F31B82D4C7BA2518DA221B2440F2E469E3DE20C77701F47151B2DE79CE2BB595894F8171AF0CB1Dd9J6M" TargetMode="External"/><Relationship Id="rId11" Type="http://schemas.openxmlformats.org/officeDocument/2006/relationships/hyperlink" Target="consultantplus://offline/ref=7AF15261914F31B82D4C7BA2518DA221B3400D214B903DE20C77701F47151B2DF59CBAB758588BFD100FA69A5BC31320E41E0F445A0FFED4dDJ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AF15261914F31B82D4C7BA2518DA221B14D0E20479A3DE20C77701F47151B2DF59CBAB758588AF91B0FA69A5BC31320E41E0F445A0FFED4dDJ0M" TargetMode="External"/><Relationship Id="rId10" Type="http://schemas.openxmlformats.org/officeDocument/2006/relationships/hyperlink" Target="consultantplus://offline/ref=7AF15261914F31B82D4C7BA2518DA221B3400D214B903DE20C77701F47151B2DF59CBAB55D5A81AC4240A7C61E960021E01E0D4046d0JD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F15261914F31B82D4C7BA2518DA221B24C0E21479E3DE20C77701F47151B2DF59CBAB758588AFC110FA69A5BC31320E41E0F445A0FFED4dDJ0M" TargetMode="External"/><Relationship Id="rId14" Type="http://schemas.openxmlformats.org/officeDocument/2006/relationships/hyperlink" Target="consultantplus://offline/ref=7AF15261914F31B82D4C7BA2518DA221B243032F4E9B3DE20C77701F47151B2DF59CBAB758588AF9120FA69A5BC31320E41E0F445A0FFED4dDJ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12744</Words>
  <Characters>72642</Characters>
  <Application>Microsoft Office Word</Application>
  <DocSecurity>0</DocSecurity>
  <Lines>605</Lines>
  <Paragraphs>170</Paragraphs>
  <ScaleCrop>false</ScaleCrop>
  <Company/>
  <LinksUpToDate>false</LinksUpToDate>
  <CharactersWithSpaces>85216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</dc:creator>
  <cp:lastModifiedBy>Долгов</cp:lastModifiedBy>
  <cp:revision>2</cp:revision>
  <dcterms:created xsi:type="dcterms:W3CDTF">2020-04-10T12:09:00Z</dcterms:created>
  <dcterms:modified xsi:type="dcterms:W3CDTF">2020-04-10T12:12:00Z</dcterms:modified>
</cp:coreProperties>
</file>