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A2" w:rsidRPr="00AB7FA2" w:rsidRDefault="00AB7FA2" w:rsidP="00AB7FA2">
      <w:pPr>
        <w:pStyle w:val="ConsPlusTitlePage"/>
        <w:ind w:left="142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AB7FA2">
        <w:rPr>
          <w:rFonts w:ascii="Times New Roman" w:hAnsi="Times New Roman" w:cs="Times New Roman"/>
          <w:sz w:val="24"/>
          <w:szCs w:val="24"/>
        </w:rPr>
        <w:br/>
      </w:r>
    </w:p>
    <w:p w:rsidR="00AB7FA2" w:rsidRPr="00AB7FA2" w:rsidRDefault="00AB7FA2" w:rsidP="00AB7FA2">
      <w:pPr>
        <w:pStyle w:val="ConsPlusNormal"/>
        <w:ind w:left="142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Title"/>
        <w:ind w:left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AB7FA2" w:rsidRPr="00AB7FA2" w:rsidRDefault="00AB7FA2" w:rsidP="00AB7FA2">
      <w:pPr>
        <w:pStyle w:val="ConsPlusTitle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Title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B7FA2" w:rsidRPr="00AB7FA2" w:rsidRDefault="00AB7FA2" w:rsidP="00AB7FA2">
      <w:pPr>
        <w:pStyle w:val="ConsPlusTitle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от 17 апреля 2019 г. N 768-р</w:t>
      </w:r>
    </w:p>
    <w:p w:rsidR="00AB7FA2" w:rsidRPr="00AB7FA2" w:rsidRDefault="00AB7FA2" w:rsidP="00AB7FA2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развития конкуренции в субъектах Российской Федерации (далее - стандарт).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2. Рекомендовать: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AB7FA2">
        <w:rPr>
          <w:rFonts w:ascii="Times New Roman" w:hAnsi="Times New Roman" w:cs="Times New Roman"/>
          <w:sz w:val="24"/>
          <w:szCs w:val="24"/>
        </w:rPr>
        <w:t>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субъектам естественных монополий руководствоваться положениями </w:t>
      </w:r>
      <w:hyperlink w:anchor="P32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раскрытия информации о своей деятельности.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стандарту</w:t>
        </w:r>
      </w:hyperlink>
      <w:r w:rsidRPr="00AB7FA2">
        <w:rPr>
          <w:rFonts w:ascii="Times New Roman" w:hAnsi="Times New Roman" w:cs="Times New Roman"/>
          <w:sz w:val="24"/>
          <w:szCs w:val="24"/>
        </w:rPr>
        <w:t>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4. Минэкономразвития России: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образовать межведомственную рабочую группу по вопросам реализации положений </w:t>
      </w:r>
      <w:hyperlink w:anchor="P32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AB7FA2">
        <w:rPr>
          <w:rFonts w:ascii="Times New Roman" w:hAnsi="Times New Roman" w:cs="Times New Roman"/>
          <w:sz w:val="24"/>
          <w:szCs w:val="24"/>
        </w:rPr>
        <w:t>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AB7FA2">
        <w:rPr>
          <w:rFonts w:ascii="Times New Roman" w:hAnsi="Times New Roman" w:cs="Times New Roman"/>
          <w:sz w:val="24"/>
          <w:szCs w:val="24"/>
        </w:rPr>
        <w:t>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AB7FA2">
        <w:rPr>
          <w:rFonts w:ascii="Times New Roman" w:hAnsi="Times New Roman" w:cs="Times New Roman"/>
          <w:sz w:val="24"/>
          <w:szCs w:val="24"/>
        </w:rP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5. Признать утратившими силу: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B7FA2" w:rsidRPr="00AB7FA2" w:rsidRDefault="00AB7FA2" w:rsidP="00AB7FA2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B7FA2" w:rsidRPr="00AB7FA2" w:rsidRDefault="00AB7FA2" w:rsidP="00AB7FA2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Д.МЕДВЕДЕВ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Normal"/>
        <w:ind w:left="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Утвержден</w:t>
      </w:r>
    </w:p>
    <w:p w:rsidR="00AB7FA2" w:rsidRPr="00AB7FA2" w:rsidRDefault="00AB7FA2" w:rsidP="00AB7FA2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AB7FA2" w:rsidRPr="00AB7FA2" w:rsidRDefault="00AB7FA2" w:rsidP="00AB7FA2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B7FA2" w:rsidRPr="00AB7FA2" w:rsidRDefault="00AB7FA2" w:rsidP="00AB7FA2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от 17 апреля 2019 г. N 768-р</w:t>
      </w:r>
    </w:p>
    <w:p w:rsidR="00AB7FA2" w:rsidRPr="00AB7FA2" w:rsidRDefault="00AB7FA2" w:rsidP="00AB7FA2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Title"/>
        <w:ind w:left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AB7FA2">
        <w:rPr>
          <w:rFonts w:ascii="Times New Roman" w:hAnsi="Times New Roman" w:cs="Times New Roman"/>
          <w:sz w:val="24"/>
          <w:szCs w:val="24"/>
        </w:rPr>
        <w:t>СТАНДАРТ</w:t>
      </w:r>
    </w:p>
    <w:p w:rsidR="00AB7FA2" w:rsidRPr="00AB7FA2" w:rsidRDefault="00AB7FA2" w:rsidP="00AB7FA2">
      <w:pPr>
        <w:pStyle w:val="ConsPlusTitle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РАЗВИТИЯ КОНКУРЕНЦИИ В СУБЪЕКТАХ РОССИЙСКОЙ ФЕДЕРАЦИИ</w:t>
      </w:r>
    </w:p>
    <w:p w:rsidR="00AB7FA2" w:rsidRPr="00AB7FA2" w:rsidRDefault="00AB7FA2" w:rsidP="00AB7FA2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Title"/>
        <w:ind w:left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B7FA2" w:rsidRPr="00AB7FA2" w:rsidRDefault="00AB7FA2" w:rsidP="00AB7FA2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подпункта "в" пункта 8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2. Целями стандарта являются: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</w:t>
      </w:r>
      <w:r w:rsidRPr="00AB7FA2">
        <w:rPr>
          <w:rFonts w:ascii="Times New Roman" w:hAnsi="Times New Roman" w:cs="Times New Roman"/>
          <w:sz w:val="24"/>
          <w:szCs w:val="24"/>
        </w:rPr>
        <w:lastRenderedPageBreak/>
        <w:t>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б) содействие формированию прозрачной системы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работы органов исполнительной власти субъектов Российской Федерации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е) повышение доступности финансовых услуг для субъектов экономической деятельности;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ж) преодоление и минимизация влияния несовершенной конкуренции на инфляцию;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3. Принципами внедрения стандарта являются: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>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для результативной и эффективной реализации стандарта;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в) системный подход - совершенствование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 xml:space="preserve">взаимодействия органов исполнительной власти субъекта Российской </w:t>
      </w:r>
      <w:r w:rsidRPr="00AB7FA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приоритетной программы по внедрению стандарта, утверждаемой высшим должностным лицом.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положения о структурных подразделениях.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 xml:space="preserve">Для достижения целей стандарта и соблюдения принципов его внедрения, формирования </w:t>
      </w:r>
      <w:hyperlink w:anchor="P323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>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власти субъекта Российской Федерации и органов местного самоуправления.</w:t>
      </w:r>
    </w:p>
    <w:p w:rsidR="00AB7FA2" w:rsidRPr="00AB7FA2" w:rsidRDefault="00AB7FA2" w:rsidP="00AB7FA2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Title"/>
        <w:ind w:left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II. Определение уполномоченного органа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9. Уполномоченный орган определяется из числа органов исполнительной власти субъекта Российской Федерации.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10. Уполномоченный орган осуществляет следующие полномочия: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</w:t>
      </w:r>
      <w:r w:rsidRPr="00AB7FA2">
        <w:rPr>
          <w:rFonts w:ascii="Times New Roman" w:hAnsi="Times New Roman" w:cs="Times New Roman"/>
          <w:sz w:val="24"/>
          <w:szCs w:val="24"/>
        </w:rPr>
        <w:lastRenderedPageBreak/>
        <w:t>коллегиальным органом;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проектами;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в) обеспечивают единство целей и направлений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Title"/>
        <w:ind w:left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III. Рассмотрение вопросов содействия развитию конкуренции</w:t>
      </w:r>
    </w:p>
    <w:p w:rsidR="00AB7FA2" w:rsidRPr="00AB7FA2" w:rsidRDefault="00AB7FA2" w:rsidP="00AB7FA2">
      <w:pPr>
        <w:pStyle w:val="ConsPlusTitle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на заседаниях коллегиального органа</w:t>
      </w:r>
    </w:p>
    <w:p w:rsidR="00AB7FA2" w:rsidRPr="00AB7FA2" w:rsidRDefault="00AB7FA2" w:rsidP="00AB7FA2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а)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lastRenderedPageBreak/>
        <w:t>г) результаты и анализ результатов мониторинга.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13. Коллегиальный орган рассматривает и утверждает доклад, а 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необходимости представляет замечания, предложения и особые мнения членов коллегиального органа для включения их в доклад.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AB7FA2">
        <w:rPr>
          <w:rFonts w:ascii="Times New Roman" w:hAnsi="Times New Roman" w:cs="Times New Roman"/>
          <w:sz w:val="24"/>
          <w:szCs w:val="24"/>
        </w:rP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в) представители общественных организаций, действующих 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предпринимателей и потребителей товаров, работ, услуг;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г) представители комиссии по проведению административной реформы в субъекте Российской Федерации;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е) представители потребителей товаров, работ,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з) представители объединений, действующих 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сферы рыбного хозяйства (воспроизводство водных биологических ресурсов,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марикультура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 xml:space="preserve">, товарное рыбоводство, промышленное рыболовство,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рыбопереработка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л) эксперты и специалисты иных направлений (конструкторы, инженеры, изобретатели,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инноваторы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 xml:space="preserve">, альтернативной энергетики и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м) представители общественных палат субъектов Российской Федерации.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15. В случае необходимости в состав коллегиального органа помимо лиц, указанных в </w:t>
      </w:r>
      <w:hyperlink w:anchor="P92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стандарта, могут включаться иные участники (с учетом региональной специфики).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а) представителей территориальных органов федеральных органов исполнительной власти;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б) уполномоченного по защите прав предпринимателей в субъекте Российской Федерации;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в) уполномоченного по правам человека 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субъекте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г) представителей территориальных учреждений Центрального банка Российской Федерации.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17. Заседания коллегиального органа в очном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целесообразно проводить не реже одного раза в квартал.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lastRenderedPageBreak/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AB7FA2" w:rsidRPr="00AB7FA2" w:rsidRDefault="00AB7FA2" w:rsidP="00AB7FA2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Title"/>
        <w:ind w:left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IV. Утверждение перечня товарных рынков</w:t>
      </w:r>
    </w:p>
    <w:p w:rsidR="00AB7FA2" w:rsidRPr="00AB7FA2" w:rsidRDefault="00AB7FA2" w:rsidP="00AB7FA2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AB7FA2">
        <w:rPr>
          <w:rFonts w:ascii="Times New Roman" w:hAnsi="Times New Roman" w:cs="Times New Roman"/>
          <w:sz w:val="24"/>
          <w:szCs w:val="24"/>
        </w:rPr>
        <w:t>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субъектами Российской Федерации самостоятельно с учетом специфики социально-экономического развития.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23. Разработка перечня товарных рынков осуществляется в том числе на основе следующих данных: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г) инвестиционные приоритеты, определяемые субъектом Российской Федерации в установленном им порядке;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д) информация, содержащаяся 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AB7FA2" w:rsidRPr="00AB7FA2" w:rsidRDefault="00AB7FA2" w:rsidP="00AB7FA2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Title"/>
        <w:ind w:left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V. Разработка "дорожной карты"</w:t>
      </w:r>
    </w:p>
    <w:p w:rsidR="00AB7FA2" w:rsidRPr="00AB7FA2" w:rsidRDefault="00AB7FA2" w:rsidP="00AB7FA2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lastRenderedPageBreak/>
        <w:t>26. Утверждение "дорожной карты" осуществляется высшим должностным лицом.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27. "Дорожная карта" разрабатывается на основе анализа результатов мониторинга, лучших практик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работы органов исполнительной власти субъектов Российской Федерации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по внедрению стандарта, информации территориальных органов федеральных органов исполнительной власти, территориальных учреждений Центрального банка Российской Федерации и иных источников информации.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28. При разработке и реализации "дорожной карты", а также при внесении в нее изменений осуществляются: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а) определение процессов, необходимых для реализации требований по развитию конкуренции;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б) определение последовательности и взаимодействия этих процессов, а также их приоритетность;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в) определение критериев и методов, необходимых для обеспечения результативности и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как при осуществлении этих процессов, так и при управлении ими;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г) обеспечение ресурсов и информации, необходимых для поддержания этих процессов и их мониторинга;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д) определение принципов и порядка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взаимодействия органов исполнительной власти субъекта Российской Федерации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е) мероприятия, необходимые для достижения запланированных результатов.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29. Органы местного самоуправления при наличии соглашения могут быть соисполнителями мероприятий "дорожной карты".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30. Наряду с мероприятиями, сформированными 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а) на развитие конкурентоспособности товаров, работ, услуг субъектов малого и среднего предпринимательства;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устранение случаев (снижение количества) осуществления закупки у единственного поставщика;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расширение участия субъектов малого и среднего предпринимательства 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прирост объема закупок у субъектов малого и среднего предпринимательства;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увеличение количества участников закупок из числа субъектов малого и среднего предпринимательства;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экономия средств заказчика за счет участия 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проведение анализа практики реализации государственных функций и услуг, относящихся к </w:t>
      </w:r>
      <w:r w:rsidRPr="00AB7FA2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статьям 15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Об общих принципах организации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Об общих принципах организации местного самоуправления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в Российской Федерации", пунктов, предусматривающих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д)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е) на создание условий для недискриминационного доступа хозяйствующих субъектов на товарные рынки;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з) на содействие развитию практики применения механизмов государственно-частного и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 xml:space="preserve"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</w:t>
      </w:r>
      <w:r w:rsidRPr="00AB7FA2">
        <w:rPr>
          <w:rFonts w:ascii="Times New Roman" w:hAnsi="Times New Roman" w:cs="Times New Roman"/>
          <w:sz w:val="24"/>
          <w:szCs w:val="24"/>
        </w:rPr>
        <w:lastRenderedPageBreak/>
        <w:t>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м) на повышение в субъекте Российской Федерации цифровой грамотности населения, государственных гражданских служащих и работников бюджетной сферы в рамках соответствующей региональной программы;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 xml:space="preserve"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 xml:space="preserve"> Интернешнл (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 xml:space="preserve">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Abilympic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</w:t>
      </w:r>
      <w:r w:rsidRPr="00AB7FA2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прошедшего обучение по повышению финансовой грамотности в рамках </w:t>
      </w:r>
      <w:hyperlink r:id="rId14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Российской Федерации;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ц) на повышение доступности финансовых услуг для субъектов экономической деятельности;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и органами местного самоуправления.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31. "Дорожная карта" должна содержать следующую информацию: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в) результаты (цели) и ключевые показатели развития конкуренции (с указанием срока их достижения);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г) сведения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32. Планируется, что мероприятия, предусмотренные "дорожной картой", затронут все сферы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при возможном взаимодействии по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соисполнению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 xml:space="preserve">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34. С учетом соглашения в "дорожную карту" могут включаться мероприятия 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муниципальных образований.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lastRenderedPageBreak/>
        <w:t xml:space="preserve">35.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AB7FA2" w:rsidRPr="00AB7FA2" w:rsidRDefault="00AB7FA2" w:rsidP="00AB7FA2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Title"/>
        <w:ind w:left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VI. Проведение мониторинга</w:t>
      </w:r>
    </w:p>
    <w:p w:rsidR="00AB7FA2" w:rsidRPr="00AB7FA2" w:rsidRDefault="00AB7FA2" w:rsidP="00AB7FA2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>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4"/>
      <w:bookmarkEnd w:id="2"/>
      <w:r w:rsidRPr="00AB7FA2">
        <w:rPr>
          <w:rFonts w:ascii="Times New Roman" w:hAnsi="Times New Roman" w:cs="Times New Roman"/>
          <w:sz w:val="24"/>
          <w:szCs w:val="24"/>
        </w:rPr>
        <w:t>39. Мониторинг включает в себя: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сбор данных о продолжительности осуществления предпринимательской деятельности хозяйствующих субъектов, деятельность которых начата в период не ранее 5 и не позже 3 лет до начала сбора указанных данных;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выделение групп потребителей товаров, работ, услуг 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с их социальным статусом (учащиеся, пенсионеры и др.);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</w:t>
      </w:r>
      <w:r w:rsidRPr="00AB7FA2">
        <w:rPr>
          <w:rFonts w:ascii="Times New Roman" w:hAnsi="Times New Roman" w:cs="Times New Roman"/>
          <w:sz w:val="24"/>
          <w:szCs w:val="24"/>
        </w:rPr>
        <w:lastRenderedPageBreak/>
        <w:t>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формирование перечня товарных рынков, на которых присутствуют субъекты естественных монополий;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 xml:space="preserve">сбор и анализ данных об оказываемых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 xml:space="preserve">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которого ежегодно публикуются на официальном сайте в сети "Интернет";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lastRenderedPageBreak/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которого ежегодно публикуются на официальном сайте в сети "Интернет";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 xml:space="preserve">з) мониторинг цен (с учетом динамики) на товары, входящие в </w:t>
      </w:r>
      <w:hyperlink r:id="rId15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 xml:space="preserve"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хабах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сегменте, включая наличие стабильной подвижной радиотелефонной связи на удаленных дорогах;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к) мониторинг развития передовых производственных технологий и их внедрения, а также процесса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 xml:space="preserve"> экономики и формирования ее новых рынков и секторов.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40. При проведении мониторинга уполномоченный орган использует в том числе: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 w:rsidRPr="00AB7FA2">
        <w:rPr>
          <w:rFonts w:ascii="Times New Roman" w:hAnsi="Times New Roman" w:cs="Times New Roman"/>
          <w:sz w:val="24"/>
          <w:szCs w:val="24"/>
        </w:rP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е) показатели, характеризующие состояние экономики и социальной сферы каждого муниципального образования;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ж) информацию о результатах общественного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46"/>
      <w:bookmarkEnd w:id="3"/>
      <w:r w:rsidRPr="00AB7FA2">
        <w:rPr>
          <w:rFonts w:ascii="Times New Roman" w:hAnsi="Times New Roman" w:cs="Times New Roman"/>
          <w:sz w:val="24"/>
          <w:szCs w:val="24"/>
        </w:rP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а) данные по ожидаемому потребителями темпу роста цен;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пункте 41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стандарта информацию.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продвижению новых проектов" утверждает единую </w:t>
      </w:r>
      <w:hyperlink r:id="rId16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мониторинга.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пунктами 39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46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41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стандарта, а также установить критерии: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а) оценки состояния конкуренции субъектами предпринимательской деятельности;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г) иные критерии.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 xml:space="preserve"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</w:t>
      </w:r>
      <w:r w:rsidRPr="00AB7FA2">
        <w:rPr>
          <w:rFonts w:ascii="Times New Roman" w:hAnsi="Times New Roman" w:cs="Times New Roman"/>
          <w:sz w:val="24"/>
          <w:szCs w:val="24"/>
        </w:rPr>
        <w:lastRenderedPageBreak/>
        <w:t>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46. По результатам мониторинга уполномоченный орган подготавливает проект доклада, содержащий в том числе: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а) характеристику состояния конкуренции на товарных рынках, включенных в </w:t>
      </w:r>
      <w:hyperlink w:anchor="P323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товарных рынков, а также анализ факторов, ограничивающих конкуренцию;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в) информацию о результатах общественного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г) анализ результативности и эффективности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доли достигнутых показателей 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количестве показателей;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средней суммы фактических значений достижения показателей (процентов плана);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доли показателей, по которым приняты корректирующие решения, 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количестве показателей региональной приоритетной программы по внедрению стандарта;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доли выполненных мероприятий 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количестве мероприятий;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доли выполненных мероприятий 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количестве мероприятий, по которым приняты корректирующие решения;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доли показателей, достигнутых в запланированные сроки, 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количестве показателей в соответствии с ключевыми этапами и контрольными точками.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lastRenderedPageBreak/>
        <w:t xml:space="preserve">49.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Title"/>
        <w:ind w:left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VII. Создание и реализация механизмов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AB7FA2" w:rsidRPr="00AB7FA2" w:rsidRDefault="00AB7FA2" w:rsidP="00AB7FA2">
      <w:pPr>
        <w:pStyle w:val="ConsPlusTitle"/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7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монополий и крупных инвестиционных проектов с государственным участием, проведение которого целесообразно осуществлять 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объектов сметной стоимостью от 1 млрд. рублей.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Также могут быть учтены мнения представителей потребителей товаров, работ,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9"/>
      <w:bookmarkEnd w:id="4"/>
      <w:r w:rsidRPr="00AB7FA2">
        <w:rPr>
          <w:rFonts w:ascii="Times New Roman" w:hAnsi="Times New Roman" w:cs="Times New Roman"/>
          <w:sz w:val="24"/>
          <w:szCs w:val="24"/>
        </w:rPr>
        <w:t xml:space="preserve"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</w:t>
      </w:r>
      <w:r w:rsidRPr="00AB7FA2">
        <w:rPr>
          <w:rFonts w:ascii="Times New Roman" w:hAnsi="Times New Roman" w:cs="Times New Roman"/>
          <w:sz w:val="24"/>
          <w:szCs w:val="24"/>
        </w:rPr>
        <w:lastRenderedPageBreak/>
        <w:t>Федерации, в том числе: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общественного контроля за деятельностью субъектов естественных монополий;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и независимых экспертов;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 xml:space="preserve">Раскрытие информации, указанной в </w:t>
      </w:r>
      <w:hyperlink w:anchor="P289" w:history="1">
        <w:r w:rsidRPr="00AB7FA2">
          <w:rPr>
            <w:rFonts w:ascii="Times New Roman" w:hAnsi="Times New Roman" w:cs="Times New Roman"/>
            <w:color w:val="0000FF"/>
            <w:sz w:val="24"/>
            <w:szCs w:val="24"/>
          </w:rPr>
          <w:t>пункте 53</w:t>
        </w:r>
      </w:hyperlink>
      <w:r w:rsidRPr="00AB7FA2">
        <w:rPr>
          <w:rFonts w:ascii="Times New Roman" w:hAnsi="Times New Roman" w:cs="Times New Roman"/>
          <w:sz w:val="24"/>
          <w:szCs w:val="24"/>
        </w:rP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ее строительства, реконструкции);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водоснабжения и водоотведения, оказываемых в электронном виде субъектами естественных монополий и </w:t>
      </w:r>
      <w:proofErr w:type="spellStart"/>
      <w:r w:rsidRPr="00AB7FA2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AB7FA2">
        <w:rPr>
          <w:rFonts w:ascii="Times New Roman" w:hAnsi="Times New Roman" w:cs="Times New Roman"/>
          <w:sz w:val="24"/>
          <w:szCs w:val="24"/>
        </w:rPr>
        <w:t xml:space="preserve"> организациями физическим и юридическим лицам.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</w:t>
      </w:r>
      <w:r w:rsidRPr="00AB7FA2">
        <w:rPr>
          <w:rFonts w:ascii="Times New Roman" w:hAnsi="Times New Roman" w:cs="Times New Roman"/>
          <w:sz w:val="24"/>
          <w:szCs w:val="24"/>
        </w:rPr>
        <w:lastRenderedPageBreak/>
        <w:t>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AB7FA2" w:rsidRPr="00AB7FA2" w:rsidRDefault="00AB7FA2" w:rsidP="00AB7FA2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Title"/>
        <w:ind w:left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VIII. Повышение уровня информированности субъектов</w:t>
      </w:r>
    </w:p>
    <w:p w:rsidR="00AB7FA2" w:rsidRPr="00AB7FA2" w:rsidRDefault="00AB7FA2" w:rsidP="00AB7FA2">
      <w:pPr>
        <w:pStyle w:val="ConsPlusTitle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предпринимательской деятельности и потребителей товаров,</w:t>
      </w:r>
    </w:p>
    <w:p w:rsidR="00AB7FA2" w:rsidRPr="00AB7FA2" w:rsidRDefault="00AB7FA2" w:rsidP="00AB7FA2">
      <w:pPr>
        <w:pStyle w:val="ConsPlusTitle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работ, услуг о состоянии конкуренции и деятельности</w:t>
      </w:r>
    </w:p>
    <w:p w:rsidR="00AB7FA2" w:rsidRPr="00AB7FA2" w:rsidRDefault="00AB7FA2" w:rsidP="00AB7FA2">
      <w:pPr>
        <w:pStyle w:val="ConsPlusTitle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по содействию развитию конкуренции</w:t>
      </w:r>
    </w:p>
    <w:p w:rsidR="00AB7FA2" w:rsidRPr="00AB7FA2" w:rsidRDefault="00AB7FA2" w:rsidP="00AB7FA2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интернет-портала об инвестиционной деятельности в субъекте Российской Федерации.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>: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A2">
        <w:rPr>
          <w:rFonts w:ascii="Times New Roman" w:hAnsi="Times New Roman" w:cs="Times New Roman"/>
          <w:sz w:val="24"/>
          <w:szCs w:val="24"/>
        </w:rP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59. В целях общественного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Normal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Приложение</w:t>
      </w:r>
    </w:p>
    <w:p w:rsidR="00AB7FA2" w:rsidRPr="00AB7FA2" w:rsidRDefault="00AB7FA2" w:rsidP="00AB7FA2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к стандарту развития конкуренции</w:t>
      </w:r>
    </w:p>
    <w:p w:rsidR="00AB7FA2" w:rsidRPr="00AB7FA2" w:rsidRDefault="00AB7FA2" w:rsidP="00AB7FA2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B7FA2">
        <w:rPr>
          <w:rFonts w:ascii="Times New Roman" w:hAnsi="Times New Roman" w:cs="Times New Roman"/>
          <w:sz w:val="24"/>
          <w:szCs w:val="24"/>
        </w:rPr>
        <w:t>субъектах</w:t>
      </w:r>
      <w:proofErr w:type="gramEnd"/>
      <w:r w:rsidRPr="00AB7FA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AB7FA2" w:rsidRPr="00AB7FA2" w:rsidRDefault="00AB7FA2" w:rsidP="00AB7FA2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Title"/>
        <w:ind w:left="142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23"/>
      <w:bookmarkEnd w:id="5"/>
      <w:r w:rsidRPr="00AB7FA2">
        <w:rPr>
          <w:rFonts w:ascii="Times New Roman" w:hAnsi="Times New Roman" w:cs="Times New Roman"/>
          <w:sz w:val="24"/>
          <w:szCs w:val="24"/>
        </w:rPr>
        <w:t>ПЕРЕЧЕНЬ</w:t>
      </w:r>
    </w:p>
    <w:p w:rsidR="00AB7FA2" w:rsidRPr="00AB7FA2" w:rsidRDefault="00AB7FA2" w:rsidP="00AB7FA2">
      <w:pPr>
        <w:pStyle w:val="ConsPlusTitle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t>ТОВАРНЫХ РЫНКОВ ДЛЯ СОДЕЙСТВИЯ РАЗВИТИЮ КОНКУРЕНЦИИ</w:t>
      </w:r>
    </w:p>
    <w:p w:rsidR="00AB7FA2" w:rsidRPr="00AB7FA2" w:rsidRDefault="00AB7FA2" w:rsidP="00AB7FA2">
      <w:pPr>
        <w:pStyle w:val="ConsPlusTitle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B7FA2">
        <w:rPr>
          <w:rFonts w:ascii="Times New Roman" w:hAnsi="Times New Roman" w:cs="Times New Roman"/>
          <w:sz w:val="24"/>
          <w:szCs w:val="24"/>
        </w:rPr>
        <w:lastRenderedPageBreak/>
        <w:t>В СУБЪЕКТЕ РОССИЙСКОЙ ФЕДЕРАЦИИ</w:t>
      </w:r>
    </w:p>
    <w:p w:rsidR="00AB7FA2" w:rsidRPr="00AB7FA2" w:rsidRDefault="00AB7FA2" w:rsidP="00AB7FA2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90" w:type="dxa"/>
        <w:tblInd w:w="-8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46"/>
        <w:gridCol w:w="6045"/>
        <w:gridCol w:w="1870"/>
      </w:tblGrid>
      <w:tr w:rsidR="00AB7FA2" w:rsidRPr="00AB7FA2" w:rsidTr="00640004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Наименование клю</w:t>
            </w:r>
            <w:bookmarkStart w:id="6" w:name="_GoBack"/>
            <w:bookmarkEnd w:id="6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ключевого показателя в 2022 году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1,6, но не менее 1 частной организации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1, но не менее 1 частной организации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5, но не менее 1 частной организации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услуг </w:t>
            </w:r>
            <w:proofErr w:type="gramStart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розничной торговли </w:t>
            </w:r>
            <w:r w:rsidRPr="00AB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</w:t>
            </w:r>
            <w:r w:rsidRPr="00AB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</w:t>
            </w:r>
            <w:proofErr w:type="gramStart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 xml:space="preserve">Рынок поставки сжиженного газа в </w:t>
            </w:r>
            <w:proofErr w:type="gramStart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баллонах</w:t>
            </w:r>
            <w:proofErr w:type="gramEnd"/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 xml:space="preserve">доля сельскохозяйственных потребительских кооперативов в </w:t>
            </w:r>
            <w:proofErr w:type="gramStart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 xml:space="preserve">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 xml:space="preserve">Рынок лабораторных исследований для </w:t>
            </w:r>
            <w:r w:rsidRPr="00AB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выдачи ветеринарных сопроводительных документов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лабораторных исследований для выдачи ветеринарных сопроводительных документов, </w:t>
            </w:r>
            <w:r w:rsidRPr="00AB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B7FA2" w:rsidRPr="00AB7FA2" w:rsidTr="0064000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FA2" w:rsidRPr="00AB7FA2" w:rsidRDefault="00AB7FA2" w:rsidP="00AB7FA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B7FA2" w:rsidRPr="00AB7FA2" w:rsidRDefault="00AB7FA2" w:rsidP="00AB7FA2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B7FA2" w:rsidRPr="00AB7FA2" w:rsidRDefault="00AB7FA2" w:rsidP="00AB7FA2">
      <w:pPr>
        <w:pStyle w:val="ConsPlusNormal"/>
        <w:pBdr>
          <w:top w:val="single" w:sz="6" w:space="0" w:color="auto"/>
        </w:pBd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A1534" w:rsidRPr="00AB7FA2" w:rsidRDefault="00640004" w:rsidP="00AB7FA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9A1534" w:rsidRPr="00AB7FA2" w:rsidSect="00AB7FA2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A2"/>
    <w:rsid w:val="00313CBC"/>
    <w:rsid w:val="00640004"/>
    <w:rsid w:val="00AB7FA2"/>
    <w:rsid w:val="00E6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15261914F31B82D4C7BA2518DA221B24C0E21479E3DE20C77701F47151B2DF59CBAB758588AFB1B0FA69A5BC31320E41E0F445A0FFED4dDJ0M" TargetMode="External"/><Relationship Id="rId13" Type="http://schemas.openxmlformats.org/officeDocument/2006/relationships/hyperlink" Target="consultantplus://offline/ref=7AF15261914F31B82D4C7BA2518DA221B34009264D9F3DE20C77701F47151B2DE79CE2BB595894F8171AF0CB1Dd9J6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F15261914F31B82D4C7BA2518DA221B2440F2E4D903DE20C77701F47151B2DE79CE2BB595894F8171AF0CB1Dd9J6M" TargetMode="External"/><Relationship Id="rId12" Type="http://schemas.openxmlformats.org/officeDocument/2006/relationships/hyperlink" Target="consultantplus://offline/ref=7AF15261914F31B82D4C7BA2518DA221B34009264D9F3DE20C77701F47151B2DE79CE2BB595894F8171AF0CB1Dd9J6M" TargetMode="External"/><Relationship Id="rId17" Type="http://schemas.openxmlformats.org/officeDocument/2006/relationships/hyperlink" Target="consultantplus://offline/ref=7AF15261914F31B82D4C7BA2518DA221B2440F24499F3DE20C77701F47151B2DF59CBAB758588AF9100FA69A5BC31320E41E0F445A0FFED4dDJ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F15261914F31B82D4C7BA2518DA221B3400C2F4B913DE20C77701F47151B2DF59CBAB758588AF81B0FA69A5BC31320E41E0F445A0FFED4dDJ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15261914F31B82D4C7BA2518DA221B2440F2E469E3DE20C77701F47151B2DE79CE2BB595894F8171AF0CB1Dd9J6M" TargetMode="External"/><Relationship Id="rId11" Type="http://schemas.openxmlformats.org/officeDocument/2006/relationships/hyperlink" Target="consultantplus://offline/ref=7AF15261914F31B82D4C7BA2518DA221B3400D214B903DE20C77701F47151B2DF59CBAB758588BFD100FA69A5BC31320E41E0F445A0FFED4dDJ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F15261914F31B82D4C7BA2518DA221B14D0E20479A3DE20C77701F47151B2DF59CBAB758588AF91B0FA69A5BC31320E41E0F445A0FFED4dDJ0M" TargetMode="External"/><Relationship Id="rId10" Type="http://schemas.openxmlformats.org/officeDocument/2006/relationships/hyperlink" Target="consultantplus://offline/ref=7AF15261914F31B82D4C7BA2518DA221B3400D214B903DE20C77701F47151B2DF59CBAB55D5A81AC4240A7C61E960021E01E0D4046d0JD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15261914F31B82D4C7BA2518DA221B24C0E21479E3DE20C77701F47151B2DF59CBAB758588AFC110FA69A5BC31320E41E0F445A0FFED4dDJ0M" TargetMode="External"/><Relationship Id="rId14" Type="http://schemas.openxmlformats.org/officeDocument/2006/relationships/hyperlink" Target="consultantplus://offline/ref=7AF15261914F31B82D4C7BA2518DA221B243032F4E9B3DE20C77701F47151B2DF59CBAB758588AF9120FA69A5BC31320E41E0F445A0FFED4dD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12744</Words>
  <Characters>72642</Characters>
  <Application>Microsoft Office Word</Application>
  <DocSecurity>0</DocSecurity>
  <Lines>605</Lines>
  <Paragraphs>170</Paragraphs>
  <ScaleCrop>false</ScaleCrop>
  <Company/>
  <LinksUpToDate>false</LinksUpToDate>
  <CharactersWithSpaces>85216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</dc:creator>
  <cp:lastModifiedBy>Долгов</cp:lastModifiedBy>
  <cp:revision>2</cp:revision>
  <dcterms:created xsi:type="dcterms:W3CDTF">2020-04-10T12:09:00Z</dcterms:created>
  <dcterms:modified xsi:type="dcterms:W3CDTF">2020-04-10T12:12:00Z</dcterms:modified>
</cp:coreProperties>
</file>